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2"/>
      </w:tblGrid>
      <w:tr w:rsidR="00FA202D" w:rsidTr="00FA202D">
        <w:trPr>
          <w:trHeight w:hRule="exact" w:val="4652"/>
        </w:trPr>
        <w:tc>
          <w:tcPr>
            <w:tcW w:w="4902" w:type="dxa"/>
          </w:tcPr>
          <w:tbl>
            <w:tblPr>
              <w:tblStyle w:val="a3"/>
              <w:tblpPr w:leftFromText="180" w:rightFromText="180" w:horzAnchor="page" w:tblpX="829" w:tblpY="-278"/>
              <w:tblW w:w="49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2"/>
            </w:tblGrid>
            <w:tr w:rsidR="00FA202D" w:rsidRPr="00DD397E" w:rsidTr="00FA202D">
              <w:trPr>
                <w:trHeight w:hRule="exact" w:val="4821"/>
              </w:trPr>
              <w:tc>
                <w:tcPr>
                  <w:tcW w:w="4902" w:type="dxa"/>
                </w:tcPr>
                <w:p w:rsidR="00FA202D" w:rsidRPr="00DD397E" w:rsidRDefault="00FA202D" w:rsidP="00FA202D">
                  <w:pPr>
                    <w:keepNext/>
                    <w:widowControl w:val="0"/>
                    <w:tabs>
                      <w:tab w:val="left" w:pos="4045"/>
                    </w:tabs>
                    <w:spacing w:line="240" w:lineRule="exact"/>
                    <w:ind w:right="57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A202D" w:rsidRPr="00DD397E" w:rsidRDefault="00FA202D" w:rsidP="00FA202D">
                  <w:pPr>
                    <w:keepNext/>
                    <w:widowControl w:val="0"/>
                    <w:tabs>
                      <w:tab w:val="left" w:pos="4045"/>
                    </w:tabs>
                    <w:spacing w:line="240" w:lineRule="exact"/>
                    <w:ind w:right="57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A202D" w:rsidRPr="00DD397E" w:rsidRDefault="00FA202D" w:rsidP="00FA202D">
                  <w:pPr>
                    <w:keepNext/>
                    <w:widowControl w:val="0"/>
                    <w:tabs>
                      <w:tab w:val="left" w:pos="4045"/>
                    </w:tabs>
                    <w:spacing w:line="240" w:lineRule="exact"/>
                    <w:ind w:right="57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A202D" w:rsidRPr="00DD397E" w:rsidRDefault="00FA202D" w:rsidP="00FA202D">
                  <w:pPr>
                    <w:keepNext/>
                    <w:widowControl w:val="0"/>
                    <w:tabs>
                      <w:tab w:val="left" w:pos="4045"/>
                    </w:tabs>
                    <w:spacing w:line="240" w:lineRule="exact"/>
                    <w:ind w:right="57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A202D" w:rsidRPr="00DD397E" w:rsidRDefault="00FA202D" w:rsidP="00FA202D">
                  <w:pPr>
                    <w:keepNext/>
                    <w:widowControl w:val="0"/>
                    <w:tabs>
                      <w:tab w:val="left" w:pos="4045"/>
                    </w:tabs>
                    <w:spacing w:line="240" w:lineRule="exact"/>
                    <w:ind w:right="57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A202D" w:rsidRPr="00DD397E" w:rsidRDefault="00FA202D" w:rsidP="00FA202D">
                  <w:pPr>
                    <w:keepNext/>
                    <w:widowControl w:val="0"/>
                    <w:spacing w:line="240" w:lineRule="exact"/>
                    <w:ind w:left="459" w:right="33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39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ПРОКУРАТУРА</w:t>
                  </w:r>
                </w:p>
                <w:p w:rsidR="00FA202D" w:rsidRPr="00DD397E" w:rsidRDefault="00FA202D" w:rsidP="00FA202D">
                  <w:pPr>
                    <w:keepNext/>
                    <w:widowControl w:val="0"/>
                    <w:spacing w:line="240" w:lineRule="exact"/>
                    <w:ind w:left="459" w:right="33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D397E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РОССИЙСКОЙ ФЕДЕРАЦИИ</w:t>
                  </w:r>
                </w:p>
                <w:p w:rsidR="00FA202D" w:rsidRPr="00DD397E" w:rsidRDefault="00FA202D" w:rsidP="00FA202D">
                  <w:pPr>
                    <w:keepNext/>
                    <w:widowControl w:val="0"/>
                    <w:spacing w:line="240" w:lineRule="exact"/>
                    <w:ind w:left="459" w:right="33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FA202D" w:rsidRPr="00DD397E" w:rsidRDefault="00FA202D" w:rsidP="00FA202D">
                  <w:pPr>
                    <w:keepNext/>
                    <w:widowControl w:val="0"/>
                    <w:spacing w:line="240" w:lineRule="exact"/>
                    <w:ind w:left="459" w:right="189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D39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ПРОКУРАТУРА КУРСКОЙ ОБЛАСТИ</w:t>
                  </w:r>
                </w:p>
                <w:p w:rsidR="00FA202D" w:rsidRPr="00DD397E" w:rsidRDefault="00FA202D" w:rsidP="00FA202D">
                  <w:pPr>
                    <w:keepNext/>
                    <w:widowControl w:val="0"/>
                    <w:spacing w:line="240" w:lineRule="exact"/>
                    <w:ind w:left="459" w:right="33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FA202D" w:rsidRPr="00DD397E" w:rsidRDefault="00FA202D" w:rsidP="00FA202D">
                  <w:pPr>
                    <w:keepNext/>
                    <w:widowControl w:val="0"/>
                    <w:spacing w:line="240" w:lineRule="exact"/>
                    <w:ind w:left="459" w:right="33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D397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ПРОКУРАТУРА </w:t>
                  </w:r>
                </w:p>
                <w:p w:rsidR="00FA202D" w:rsidRPr="00DD397E" w:rsidRDefault="00FA202D" w:rsidP="00FA202D">
                  <w:pPr>
                    <w:keepNext/>
                    <w:widowControl w:val="0"/>
                    <w:spacing w:line="240" w:lineRule="exact"/>
                    <w:ind w:left="459" w:right="33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D397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КАСТОРЕНСКОГО РАЙОНА</w:t>
                  </w:r>
                </w:p>
                <w:p w:rsidR="00FA202D" w:rsidRPr="00DD397E" w:rsidRDefault="00FA202D" w:rsidP="00FA202D">
                  <w:pPr>
                    <w:spacing w:after="160" w:line="259" w:lineRule="auto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  <w:p w:rsidR="00FA202D" w:rsidRPr="00DD397E" w:rsidRDefault="00FA202D" w:rsidP="00FA202D">
                  <w:pPr>
                    <w:keepNext/>
                    <w:keepLines/>
                    <w:widowControl w:val="0"/>
                    <w:spacing w:line="240" w:lineRule="exact"/>
                    <w:ind w:left="316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39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Парковая ул., д.4, Касторное п., Курская область, 306700</w:t>
                  </w:r>
                </w:p>
                <w:p w:rsidR="00FA202D" w:rsidRPr="00DD397E" w:rsidRDefault="00FA202D" w:rsidP="00FA202D">
                  <w:pPr>
                    <w:keepNext/>
                    <w:widowControl w:val="0"/>
                    <w:spacing w:line="240" w:lineRule="exact"/>
                    <w:ind w:left="316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DD39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Тел./факс (8-47157) 2-12-40</w:t>
                  </w:r>
                </w:p>
                <w:tbl>
                  <w:tblPr>
                    <w:tblStyle w:val="a3"/>
                    <w:tblpPr w:leftFromText="181" w:rightFromText="181" w:vertAnchor="text" w:horzAnchor="margin" w:tblpX="483" w:tblpY="171"/>
                    <w:tblW w:w="4029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5"/>
                    <w:gridCol w:w="1009"/>
                    <w:gridCol w:w="431"/>
                    <w:gridCol w:w="287"/>
                    <w:gridCol w:w="311"/>
                    <w:gridCol w:w="1406"/>
                    <w:gridCol w:w="10"/>
                  </w:tblGrid>
                  <w:tr w:rsidR="00FA202D" w:rsidRPr="00DD397E" w:rsidTr="00FA202D">
                    <w:trPr>
                      <w:trHeight w:hRule="exact" w:val="370"/>
                    </w:trPr>
                    <w:tc>
                      <w:tcPr>
                        <w:tcW w:w="1584" w:type="dxa"/>
                        <w:gridSpan w:val="2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FA202D" w:rsidRPr="00DD397E" w:rsidRDefault="00435DB8" w:rsidP="00ED4A48">
                        <w:pPr>
                          <w:spacing w:before="20" w:after="160" w:line="259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ED4A4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.04.2024</w:t>
                        </w:r>
                      </w:p>
                    </w:tc>
                    <w:tc>
                      <w:tcPr>
                        <w:tcW w:w="431" w:type="dxa"/>
                        <w:tcBorders>
                          <w:bottom w:val="nil"/>
                        </w:tcBorders>
                        <w:vAlign w:val="bottom"/>
                      </w:tcPr>
                      <w:p w:rsidR="00FA202D" w:rsidRPr="00DD397E" w:rsidRDefault="00FA202D" w:rsidP="00FA202D">
                        <w:pPr>
                          <w:spacing w:before="20" w:after="160" w:line="259" w:lineRule="auto"/>
                          <w:ind w:right="-141"/>
                          <w:rPr>
                            <w:rFonts w:ascii="Times New Roman" w:hAnsi="Times New Roman" w:cs="Times New Roman"/>
                          </w:rPr>
                        </w:pPr>
                        <w:r w:rsidRPr="00DD39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014" w:type="dxa"/>
                        <w:gridSpan w:val="4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FA202D" w:rsidRPr="00DD397E" w:rsidRDefault="001C383F" w:rsidP="00FA202D">
                        <w:pPr>
                          <w:spacing w:before="20" w:after="160" w:line="259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118-2024</w:t>
                        </w:r>
                      </w:p>
                    </w:tc>
                  </w:tr>
                  <w:tr w:rsidR="00FA202D" w:rsidRPr="00DD397E" w:rsidTr="00FA202D">
                    <w:trPr>
                      <w:gridAfter w:val="1"/>
                      <w:wAfter w:w="10" w:type="dxa"/>
                      <w:trHeight w:hRule="exact" w:val="370"/>
                    </w:trPr>
                    <w:tc>
                      <w:tcPr>
                        <w:tcW w:w="575" w:type="dxa"/>
                        <w:tcBorders>
                          <w:bottom w:val="nil"/>
                        </w:tcBorders>
                        <w:vAlign w:val="bottom"/>
                      </w:tcPr>
                      <w:p w:rsidR="00FA202D" w:rsidRPr="00DD397E" w:rsidRDefault="00FA202D" w:rsidP="00FA202D">
                        <w:pPr>
                          <w:spacing w:before="20" w:after="160" w:line="259" w:lineRule="auto"/>
                          <w:ind w:left="-120" w:right="-109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D397E">
                          <w:rPr>
                            <w:rFonts w:ascii="Times New Roman" w:hAnsi="Times New Roman" w:cs="Times New Roman"/>
                            <w:szCs w:val="24"/>
                          </w:rPr>
                          <w:t>На</w:t>
                        </w:r>
                        <w:r w:rsidRPr="00DD39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№</w:t>
                        </w:r>
                      </w:p>
                    </w:tc>
                    <w:tc>
                      <w:tcPr>
                        <w:tcW w:w="1727" w:type="dxa"/>
                        <w:gridSpan w:val="3"/>
                        <w:vAlign w:val="bottom"/>
                      </w:tcPr>
                      <w:p w:rsidR="00FA202D" w:rsidRPr="00DD397E" w:rsidRDefault="00FA202D" w:rsidP="00FA202D">
                        <w:pPr>
                          <w:spacing w:before="20" w:after="160" w:line="259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nil"/>
                        </w:tcBorders>
                        <w:vAlign w:val="bottom"/>
                      </w:tcPr>
                      <w:p w:rsidR="00FA202D" w:rsidRPr="00DD397E" w:rsidRDefault="00FA202D" w:rsidP="00FA202D">
                        <w:pPr>
                          <w:spacing w:before="20" w:after="160" w:line="259" w:lineRule="auto"/>
                          <w:ind w:left="-107" w:right="-85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D397E">
                          <w:rPr>
                            <w:rFonts w:ascii="Times New Roman" w:hAnsi="Times New Roman" w:cs="Times New Roman"/>
                            <w:szCs w:val="24"/>
                          </w:rPr>
                          <w:t>от</w:t>
                        </w:r>
                      </w:p>
                    </w:tc>
                    <w:tc>
                      <w:tcPr>
                        <w:tcW w:w="1406" w:type="dxa"/>
                        <w:vAlign w:val="bottom"/>
                      </w:tcPr>
                      <w:p w:rsidR="00FA202D" w:rsidRPr="00DD397E" w:rsidRDefault="00FA202D" w:rsidP="00FA202D">
                        <w:pPr>
                          <w:spacing w:before="20" w:after="160" w:line="259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</w:tbl>
                <w:p w:rsidR="00FA202D" w:rsidRPr="00DD397E" w:rsidRDefault="00FA202D" w:rsidP="00FA202D">
                  <w:pPr>
                    <w:tabs>
                      <w:tab w:val="left" w:pos="861"/>
                    </w:tabs>
                    <w:spacing w:after="160" w:line="36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:rsidR="00FA202D" w:rsidRDefault="00FA202D" w:rsidP="00FA202D"/>
        </w:tc>
      </w:tr>
    </w:tbl>
    <w:tbl>
      <w:tblPr>
        <w:tblStyle w:val="a3"/>
        <w:tblpPr w:leftFromText="181" w:rightFromText="181" w:vertAnchor="page" w:horzAnchor="margin" w:tblpXSpec="right" w:tblpY="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</w:tblGrid>
      <w:tr w:rsidR="00144A3E" w:rsidTr="00144A3E">
        <w:trPr>
          <w:trHeight w:val="4675"/>
        </w:trPr>
        <w:tc>
          <w:tcPr>
            <w:tcW w:w="5279" w:type="dxa"/>
          </w:tcPr>
          <w:p w:rsidR="00144A3E" w:rsidRDefault="00144A3E" w:rsidP="00144A3E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A3E" w:rsidRDefault="00144A3E" w:rsidP="00144A3E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DC" w:rsidRPr="00435DB8" w:rsidRDefault="00E565DC" w:rsidP="00E565DC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Главе Касторенского района Курской области</w:t>
            </w:r>
          </w:p>
          <w:p w:rsidR="00E565DC" w:rsidRPr="00E565DC" w:rsidRDefault="00E565DC" w:rsidP="00E565DC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5DC" w:rsidRPr="00E565DC" w:rsidRDefault="00E565DC" w:rsidP="00E565DC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Голубевой Н.Ю.</w:t>
            </w:r>
          </w:p>
          <w:p w:rsidR="00E565DC" w:rsidRPr="00E565DC" w:rsidRDefault="00E565DC" w:rsidP="00E565DC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A3E" w:rsidRDefault="00E565DC" w:rsidP="00E565DC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50 лет Октября, п. Касторное, Касторенский района, Курской область, 306700</w:t>
            </w:r>
          </w:p>
          <w:p w:rsidR="00435DB8" w:rsidRDefault="00435DB8" w:rsidP="00E565DC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DB8" w:rsidRPr="00435DB8" w:rsidRDefault="00435DB8" w:rsidP="00E565DC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Главам городских и сельских поселений Касторенского района Курской области</w:t>
            </w:r>
          </w:p>
          <w:p w:rsidR="00144A3E" w:rsidRPr="00435DB8" w:rsidRDefault="00144A3E" w:rsidP="00144A3E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4A3E" w:rsidRPr="00476715" w:rsidRDefault="00144A3E" w:rsidP="00144A3E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A3E" w:rsidRPr="00476715" w:rsidRDefault="00144A3E" w:rsidP="00144A3E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A3E" w:rsidRDefault="00144A3E" w:rsidP="00144A3E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A3E" w:rsidRDefault="00144A3E" w:rsidP="00144A3E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A3E" w:rsidRDefault="00144A3E" w:rsidP="00144A3E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A3E" w:rsidRDefault="00144A3E" w:rsidP="00144A3E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A3E" w:rsidRPr="00F60D8B" w:rsidRDefault="00144A3E" w:rsidP="00144A3E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A3E" w:rsidRPr="00F60D8B" w:rsidRDefault="00144A3E" w:rsidP="00144A3E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02D" w:rsidRDefault="00435DB8" w:rsidP="00E230FA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7E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0" allowOverlap="1" wp14:anchorId="5A920018" wp14:editId="2E1A74CF">
            <wp:simplePos x="0" y="0"/>
            <wp:positionH relativeFrom="page">
              <wp:posOffset>1689100</wp:posOffset>
            </wp:positionH>
            <wp:positionV relativeFrom="page">
              <wp:posOffset>525780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DB8" w:rsidRDefault="00435DB8" w:rsidP="00080DB7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DB8" w:rsidRDefault="00435DB8" w:rsidP="00080DB7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DB8" w:rsidRDefault="00435DB8" w:rsidP="00080DB7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D14" w:rsidRDefault="00435DB8" w:rsidP="00D70D1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задания прокуратуры Курской области направляю в Ваш адрес статью о новых видах дистанционного мошенничества для размещений её на официальном сайте органа местного самоуправления с целью профилактики указанных преступлений среди населения.</w:t>
      </w:r>
    </w:p>
    <w:p w:rsidR="00435DB8" w:rsidRDefault="00435DB8" w:rsidP="00D70D1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Pr="00D70D14" w:rsidRDefault="00435DB8" w:rsidP="00D70D1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статья </w:t>
      </w:r>
      <w:r w:rsidR="001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12543">
        <w:rPr>
          <w:rFonts w:ascii="Times New Roman" w:eastAsia="Times New Roman" w:hAnsi="Times New Roman" w:cs="Times New Roman"/>
          <w:sz w:val="28"/>
          <w:szCs w:val="28"/>
          <w:lang w:eastAsia="ru-RU"/>
        </w:rPr>
        <w:t>3 листах</w:t>
      </w:r>
    </w:p>
    <w:p w:rsidR="00946EF0" w:rsidRPr="00946EF0" w:rsidRDefault="00946EF0" w:rsidP="00946EF0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horzAnchor="margin" w:tblpXSpec="center" w:tblpY="29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921"/>
      </w:tblGrid>
      <w:tr w:rsidR="00FF444C" w:rsidTr="00FF444C">
        <w:tc>
          <w:tcPr>
            <w:tcW w:w="5443" w:type="dxa"/>
            <w:vAlign w:val="bottom"/>
          </w:tcPr>
          <w:p w:rsidR="00FF444C" w:rsidRDefault="00435DB8" w:rsidP="00FF444C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И.о.п</w:t>
            </w:r>
            <w:r w:rsidR="00FF444C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444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FF444C" w:rsidRDefault="00FF444C" w:rsidP="00FF444C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bottom"/>
          </w:tcPr>
          <w:p w:rsidR="00FF444C" w:rsidRDefault="00435DB8" w:rsidP="00435DB8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А.А. Ерин</w:t>
            </w:r>
          </w:p>
        </w:tc>
      </w:tr>
    </w:tbl>
    <w:tbl>
      <w:tblPr>
        <w:tblpPr w:leftFromText="180" w:rightFromText="180" w:vertAnchor="text" w:horzAnchor="margin" w:tblpXSpec="center" w:tblpY="526"/>
        <w:tblW w:w="10064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FF444C" w:rsidRPr="00B34B16" w:rsidTr="00946EF0">
        <w:trPr>
          <w:cantSplit/>
          <w:trHeight w:val="1412"/>
        </w:trPr>
        <w:tc>
          <w:tcPr>
            <w:tcW w:w="10064" w:type="dxa"/>
          </w:tcPr>
          <w:p w:rsidR="00FF444C" w:rsidRPr="00503D80" w:rsidRDefault="00FF444C" w:rsidP="00FF444C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</w:p>
          <w:p w:rsidR="00FF444C" w:rsidRDefault="00FF444C" w:rsidP="00FF444C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:rsidR="00FF444C" w:rsidRPr="005246F8" w:rsidRDefault="00FF444C" w:rsidP="00FF444C">
            <w:pPr>
              <w:rPr>
                <w:sz w:val="28"/>
                <w:szCs w:val="28"/>
              </w:rPr>
            </w:pPr>
          </w:p>
        </w:tc>
      </w:tr>
    </w:tbl>
    <w:p w:rsidR="00946EF0" w:rsidRDefault="00946EF0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8" w:rsidRDefault="00435DB8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E0" w:rsidRDefault="008D339A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Райкова Ю.Ю</w:t>
      </w:r>
      <w:r w:rsidR="005246F8" w:rsidRPr="005246F8">
        <w:rPr>
          <w:rFonts w:ascii="Times New Roman" w:eastAsia="Times New Roman" w:hAnsi="Times New Roman" w:cs="Times New Roman"/>
          <w:sz w:val="20"/>
          <w:szCs w:val="20"/>
          <w:lang w:eastAsia="ru-RU"/>
        </w:rPr>
        <w:t>., 8 (47157) 2-16-93</w:t>
      </w:r>
    </w:p>
    <w:p w:rsidR="001A0923" w:rsidRDefault="001A0923" w:rsidP="005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923" w:rsidRDefault="00435DB8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F4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настоящее время киберпреступность растет с пугающей скоростью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A90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так отмечают правоохранительные органы. Чтобы противостоять таким угрозам</w:t>
      </w:r>
      <w:r w:rsidR="00A90F4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A90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структуре МВД недавно было создано управление по борьбе с противоправным использованием </w:t>
      </w:r>
      <w:r w:rsidR="00A90F4D" w:rsidRPr="00A90F4D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информационно-телекоммуникационных технологий</w:t>
      </w:r>
      <w:r w:rsidR="00A90F4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90F4D" w:rsidRDefault="00A90F4D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Сокращённо подразделение можно смело назвать киберполицией. Возглавил Управление генерал-майор полиции Филипп Немов.</w:t>
      </w:r>
    </w:p>
    <w:p w:rsidR="00A90F4D" w:rsidRDefault="00A90F4D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Киберполицейские проанализировали все виды дистанционных хищений, которые преступники применяют в этом году, а также рассказали о некоторых актуальных мошеннических 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>схемах.</w:t>
      </w:r>
    </w:p>
    <w:p w:rsidR="00A90F4D" w:rsidRDefault="00A90F4D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схеме № 1 под названием «Ваш номер нужно подтвердить»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>. 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становлено, что это простейший обман, который чаще всего срабатывает. Поступает звонок якобы от оператора сотовой связи, мошенники пугают, что действующий договор на оказание услуг связи заканчивается и его необходимо продлить, иначе номер передадут другому абоненту. Идти никуда не нужно, все можно седлать по телефону, уверяет собеседник, достаточно продиктовать код из смс. На самом деле цель одна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получить доступ к аккаунту человека на 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>«Г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осуслугах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90F4D" w:rsidRDefault="00A90F4D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Следующий шаг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перейти по присланной ссылке, где нужно ввести ещё 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код. Таким образом 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продлевает договор, который на самом деле является бессрочным, а предоставляет данные для входа в личный кабинет на портал «Г</w:t>
      </w:r>
      <w:r w:rsidR="00B716C2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осуслуг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716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всю информацию, которая там хранится.</w:t>
      </w:r>
    </w:p>
    <w:p w:rsidR="00B716C2" w:rsidRDefault="00B716C2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Есть и другая цель, которую преследуют мошенники, представляясь оператором связи. Тот же звонок, но теперь с предложением по смене тарифного плана, подключением новых операций либо замены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sim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-карты. Чтобы это сделать, абонента просят продиктовать код из смс. С помощью этого кода злоумышленники получают доступ к личному кабинету пользователя на сайте оператора мобильной связи.</w:t>
      </w:r>
    </w:p>
    <w:p w:rsidR="00B716C2" w:rsidRDefault="00B716C2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 после этого они настраивают переадресацию сообщений и звонков с номера жертвы на свой. Это делается для того, чтобы в дальнейшем подтверждать разного рода операции: вывод средств с банковских карт абонента, оформление на него кредита.</w:t>
      </w:r>
    </w:p>
    <w:p w:rsidR="00B716C2" w:rsidRDefault="00B716C2" w:rsidP="00B7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в таком случае советуют делать киберполицейские. Вы можете обновить персональные данные, обратившись за услугой лично, в офисе оператора связи или в личном кабинете на его официальном портале (но не по ссылке из смс). Не называйте никаких данных незнакомым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людям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телефону.</w:t>
      </w:r>
    </w:p>
    <w:p w:rsidR="00C11773" w:rsidRDefault="00B716C2" w:rsidP="00CE0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Схема № 2 «Предложения от лжеброкеров»</w:t>
      </w:r>
      <w:r w:rsidR="00C117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заключается в следующем.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1773">
        <w:rPr>
          <w:rFonts w:ascii="Times New Roman" w:eastAsia="Times New Roman" w:hAnsi="Times New Roman" w:cs="Times New Roman"/>
          <w:sz w:val="28"/>
          <w:szCs w:val="20"/>
          <w:lang w:eastAsia="ru-RU"/>
        </w:rPr>
        <w:t>Злоумышленники предлагают вам выгодно вложить свои средства, обещая процент гораздо выше, чем у банков. С потенциальными инвесторами они связываются через социальные сети или звонят им под видом сотрудников известных инвестиционных компаний.</w:t>
      </w:r>
    </w:p>
    <w:p w:rsidR="00B716C2" w:rsidRDefault="00C1177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Предложение заманчивое: нужно лишь открыть «брокерский» счёт и инвестировать от 10000 рублей. Доход – не меньше миллиона. Для открытия такого счёта мошенники требуют установить приложение. Далее программа имитирует якобы рост доходов от инвестиций</w:t>
      </w:r>
      <w:r w:rsidR="006C3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том числе в криптовалюте. Как только у «инвесторов» возникает желание вывести деньги со счёта, начинаются </w:t>
      </w:r>
      <w:r w:rsidR="006C3E2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проблемы. Лжеброкеры говорят, что сделать это сложно. Нужно пополнить счёт ещё раз на определённую сумму, оплатить «страховку». Или ежедневное размещение валюты в «европейской ячейке» либо найти поручителя, чтобы можно было «обналичить» средства. В итоге инвестор теряет свои деньги, а заодно и надежду на будущие миллионы.</w:t>
      </w:r>
    </w:p>
    <w:p w:rsidR="006C3E2E" w:rsidRDefault="006C3E2E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Вариант это</w:t>
      </w:r>
      <w:r w:rsidR="00CE098D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мошеннической схемы – участие в уникальном инвестиционном онлайн-проекте известного банка. Завлекают при помощи писем на электронную почту. Мошенники, оформляя сообщение, копируют визуальный стиль банка, для убедительности используя те же корпоративные цвета, логотип и другие элементы. Для участия в «выгодной» кампании предлагается перейти по ссылке.</w:t>
      </w:r>
    </w:p>
    <w:p w:rsidR="006C3E2E" w:rsidRDefault="006C3E2E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вам предложат </w:t>
      </w:r>
      <w:r w:rsidR="00007FD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пройти опрос: указать заработок, предпочитаемый способ хранения средств и контактные данные для связи, а также дадут доступ к специальному предложению. А уже там понадобится ввести данные своей банковской карты – с неё аферисты потом и спишут деньги.</w:t>
      </w:r>
    </w:p>
    <w:p w:rsidR="00A936FA" w:rsidRDefault="00A936FA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отличить мошенников от реальных брокеров. Проверьте сайт инвесткомпании или брокера. Обратите внимание на реквизиты и наличие лицензии Банка России. Откажитесь от услуг, если просят перевести деньги за услуги на карту физического лица либо через электронный кошелек.</w:t>
      </w:r>
    </w:p>
    <w:p w:rsidR="00A936FA" w:rsidRDefault="00A936FA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Схема № 3 «Вам предлагают выгодную работу»</w:t>
      </w:r>
      <w:r w:rsidR="00E515AC">
        <w:rPr>
          <w:rFonts w:ascii="Times New Roman" w:eastAsia="Times New Roman" w:hAnsi="Times New Roman" w:cs="Times New Roman"/>
          <w:sz w:val="28"/>
          <w:szCs w:val="20"/>
          <w:lang w:eastAsia="ru-RU"/>
        </w:rPr>
        <w:t>. Аферисты размещают лжевакансии на популярных сайтах объявлений типа «Авито». Зарплата привлекательная, условия заманчивые. Но нужно пройти собеседование с будущим работодателем, и вам предлаг</w:t>
      </w:r>
      <w:r w:rsidR="001C383F">
        <w:rPr>
          <w:rFonts w:ascii="Times New Roman" w:eastAsia="Times New Roman" w:hAnsi="Times New Roman" w:cs="Times New Roman"/>
          <w:sz w:val="28"/>
          <w:szCs w:val="20"/>
          <w:lang w:eastAsia="ru-RU"/>
        </w:rPr>
        <w:t>ают сделать это онлайн по видео</w:t>
      </w:r>
      <w:r w:rsidR="00E515AC">
        <w:rPr>
          <w:rFonts w:ascii="Times New Roman" w:eastAsia="Times New Roman" w:hAnsi="Times New Roman" w:cs="Times New Roman"/>
          <w:sz w:val="28"/>
          <w:szCs w:val="20"/>
          <w:lang w:eastAsia="ru-RU"/>
        </w:rPr>
        <w:t>звонку.</w:t>
      </w:r>
    </w:p>
    <w:p w:rsidR="001C383F" w:rsidRDefault="001C383F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 время онлайн-встречи мошенники пользуются растерянностью соискателей и крадут личные данные. Под видом будущего работодателя они проводят собеседование, где просят кандидата заполнить анкету прямо во время зума. Один из ее пунктов – номер карты и другие финансовые данные. Такая информация им нужна якобы для перечисления зарплаты в будущем. Чтобы ничего не пропустить, они включают запись экрана. Некоторые мошенники просят указать информацию по нескольким банковским картам, если какую-то якобы не примет бухгалтерия.</w:t>
      </w:r>
    </w:p>
    <w:p w:rsidR="001C383F" w:rsidRDefault="001C383F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Понятно, что вместо пополнений с банковской карты соискателя в будущем происходят списания, а ни о какой работе, естественно, речи не идёт. </w:t>
      </w:r>
      <w:r w:rsidR="00552A2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Находясь в поиске работы, можно не только потерять деньги, но и нарушить закон, став дроппером.</w:t>
      </w:r>
    </w:p>
    <w:p w:rsidR="00552A22" w:rsidRDefault="00552A22" w:rsidP="0055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Дропперы (от английского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drop</w:t>
      </w:r>
      <w:r w:rsidR="00BD1E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бросать, капать) – подставные лица, которые заинтересованы в нелегальных схемах по выводу средств с банковских карт. Часто человек не осознаёт, что вовлечен в преступную схему. Ведь объя</w:t>
      </w:r>
      <w:r w:rsidR="00012543">
        <w:rPr>
          <w:rFonts w:ascii="Times New Roman" w:eastAsia="Times New Roman" w:hAnsi="Times New Roman" w:cs="Times New Roman"/>
          <w:sz w:val="28"/>
          <w:szCs w:val="20"/>
          <w:lang w:eastAsia="ru-RU"/>
        </w:rPr>
        <w:t>вле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ние о работе, на которую он устраивается, не выглядит подозрительно.</w:t>
      </w:r>
    </w:p>
    <w:p w:rsidR="00552A22" w:rsidRDefault="00552A22" w:rsidP="0055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Чего н</w:t>
      </w:r>
      <w:r w:rsidR="00012543">
        <w:rPr>
          <w:rFonts w:ascii="Times New Roman" w:eastAsia="Times New Roman" w:hAnsi="Times New Roman" w:cs="Times New Roman"/>
          <w:sz w:val="28"/>
          <w:szCs w:val="20"/>
          <w:lang w:eastAsia="ru-RU"/>
        </w:rPr>
        <w:t>еобходиом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делать при трудоустройстве онлайн. Внимательно изучайте предложения от будущего работодателя и отзывы о нём, следите за данными, доступ к которым предлагает предоставить работодатель.</w:t>
      </w:r>
    </w:p>
    <w:p w:rsidR="00552A22" w:rsidRDefault="00552A22" w:rsidP="0055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Схема № 4 под названием «Друг просит о помощи» заключается в следующем. Происходит рассылка сообщений с просьбой одолжить денег близким людям или друзьям. Порой в своих сценариях мошенники заходят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дальше – играют на чувствах человека и сообщают, что его родственник попал в беду. Если раньше злоумышленникам приходилось разыгрывать театральный спектакль, подделывая голос, то теперь за всех это делает искусственный интеллект. Аферисты взламывают аккаунт пользователя, скачивают голосовые сообщения и на их основе генерируют диалог для дальнейшего обмана. </w:t>
      </w:r>
    </w:p>
    <w:p w:rsidR="00552A22" w:rsidRPr="00552A22" w:rsidRDefault="00CE098D" w:rsidP="0055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таких случаях</w:t>
      </w:r>
      <w:r w:rsidR="00552A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переходите по неизвестным ссылкам, даже если получили их от знакомых. </w:t>
      </w:r>
      <w:r w:rsidR="001C1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Договоритесь с родственником о секретном вопросе, который нужно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задать</w:t>
      </w:r>
      <w:r w:rsidR="001C1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если разговор кажется подозрительным. </w:t>
      </w:r>
    </w:p>
    <w:p w:rsidR="00E515AC" w:rsidRPr="00B716C2" w:rsidRDefault="00E515AC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0F4D" w:rsidRDefault="00A90F4D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01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543" w:rsidRDefault="00012543" w:rsidP="0001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43" w:rsidRPr="00A90F4D" w:rsidRDefault="00012543" w:rsidP="00A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12543" w:rsidRPr="00A90F4D" w:rsidSect="00FF444C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FC" w:rsidRDefault="00256FFC" w:rsidP="007212FD">
      <w:pPr>
        <w:spacing w:after="0" w:line="240" w:lineRule="auto"/>
      </w:pPr>
      <w:r>
        <w:separator/>
      </w:r>
    </w:p>
  </w:endnote>
  <w:endnote w:type="continuationSeparator" w:id="0">
    <w:p w:rsidR="00256FFC" w:rsidRDefault="00256FF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FC" w:rsidRDefault="00256FFC" w:rsidP="007212FD">
      <w:pPr>
        <w:spacing w:after="0" w:line="240" w:lineRule="auto"/>
      </w:pPr>
      <w:r>
        <w:separator/>
      </w:r>
    </w:p>
  </w:footnote>
  <w:footnote w:type="continuationSeparator" w:id="0">
    <w:p w:rsidR="00256FFC" w:rsidRDefault="00256FF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4A4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7FD9"/>
    <w:rsid w:val="00012543"/>
    <w:rsid w:val="0001634D"/>
    <w:rsid w:val="00021F0F"/>
    <w:rsid w:val="00024D01"/>
    <w:rsid w:val="00031C8A"/>
    <w:rsid w:val="00041675"/>
    <w:rsid w:val="000550FF"/>
    <w:rsid w:val="00056A50"/>
    <w:rsid w:val="00067934"/>
    <w:rsid w:val="00070889"/>
    <w:rsid w:val="0007553B"/>
    <w:rsid w:val="00076B93"/>
    <w:rsid w:val="000803E2"/>
    <w:rsid w:val="00080DB7"/>
    <w:rsid w:val="00084A55"/>
    <w:rsid w:val="00090738"/>
    <w:rsid w:val="00095729"/>
    <w:rsid w:val="000970DD"/>
    <w:rsid w:val="000A4C72"/>
    <w:rsid w:val="000A4E3C"/>
    <w:rsid w:val="000A6C9D"/>
    <w:rsid w:val="000B708E"/>
    <w:rsid w:val="000C062E"/>
    <w:rsid w:val="000C270D"/>
    <w:rsid w:val="000C2BCD"/>
    <w:rsid w:val="000C7917"/>
    <w:rsid w:val="000F4E35"/>
    <w:rsid w:val="000F7BB7"/>
    <w:rsid w:val="00100C9E"/>
    <w:rsid w:val="00104F4B"/>
    <w:rsid w:val="00107179"/>
    <w:rsid w:val="00117E18"/>
    <w:rsid w:val="00127902"/>
    <w:rsid w:val="00134382"/>
    <w:rsid w:val="00136594"/>
    <w:rsid w:val="00136D3C"/>
    <w:rsid w:val="00144445"/>
    <w:rsid w:val="00144A3E"/>
    <w:rsid w:val="001501B4"/>
    <w:rsid w:val="00151B1C"/>
    <w:rsid w:val="001572B8"/>
    <w:rsid w:val="00166A1C"/>
    <w:rsid w:val="00173F90"/>
    <w:rsid w:val="00180843"/>
    <w:rsid w:val="0018208F"/>
    <w:rsid w:val="001822FA"/>
    <w:rsid w:val="00183C8D"/>
    <w:rsid w:val="001921AE"/>
    <w:rsid w:val="001A0923"/>
    <w:rsid w:val="001A1E1F"/>
    <w:rsid w:val="001A71D0"/>
    <w:rsid w:val="001B13EC"/>
    <w:rsid w:val="001B3194"/>
    <w:rsid w:val="001C0B06"/>
    <w:rsid w:val="001C1345"/>
    <w:rsid w:val="001C2357"/>
    <w:rsid w:val="001C383F"/>
    <w:rsid w:val="001C4C7B"/>
    <w:rsid w:val="001D0DC8"/>
    <w:rsid w:val="001E3607"/>
    <w:rsid w:val="001E5B2C"/>
    <w:rsid w:val="001F12B8"/>
    <w:rsid w:val="001F169E"/>
    <w:rsid w:val="001F5899"/>
    <w:rsid w:val="001F7FCD"/>
    <w:rsid w:val="002048A1"/>
    <w:rsid w:val="0020667B"/>
    <w:rsid w:val="002137B7"/>
    <w:rsid w:val="00233B8C"/>
    <w:rsid w:val="002403E3"/>
    <w:rsid w:val="00247189"/>
    <w:rsid w:val="00247DC3"/>
    <w:rsid w:val="00256FFC"/>
    <w:rsid w:val="002710EF"/>
    <w:rsid w:val="00276A21"/>
    <w:rsid w:val="00280D52"/>
    <w:rsid w:val="00281733"/>
    <w:rsid w:val="00283EAE"/>
    <w:rsid w:val="00285D01"/>
    <w:rsid w:val="00291073"/>
    <w:rsid w:val="0029459D"/>
    <w:rsid w:val="00297BCD"/>
    <w:rsid w:val="002A61DD"/>
    <w:rsid w:val="002B567D"/>
    <w:rsid w:val="002C1503"/>
    <w:rsid w:val="002C6002"/>
    <w:rsid w:val="002C7C1D"/>
    <w:rsid w:val="002D1A61"/>
    <w:rsid w:val="002D484E"/>
    <w:rsid w:val="002E7520"/>
    <w:rsid w:val="002F108B"/>
    <w:rsid w:val="002F5211"/>
    <w:rsid w:val="00304EF2"/>
    <w:rsid w:val="003071D4"/>
    <w:rsid w:val="00307217"/>
    <w:rsid w:val="00307E68"/>
    <w:rsid w:val="003132C8"/>
    <w:rsid w:val="0033284E"/>
    <w:rsid w:val="003329FE"/>
    <w:rsid w:val="00336EE0"/>
    <w:rsid w:val="0034238E"/>
    <w:rsid w:val="00353E80"/>
    <w:rsid w:val="00362BD9"/>
    <w:rsid w:val="0037627A"/>
    <w:rsid w:val="00383517"/>
    <w:rsid w:val="00384D83"/>
    <w:rsid w:val="003877B3"/>
    <w:rsid w:val="0039045F"/>
    <w:rsid w:val="003A2731"/>
    <w:rsid w:val="003B4D0B"/>
    <w:rsid w:val="003B5E97"/>
    <w:rsid w:val="003B7F94"/>
    <w:rsid w:val="003C030D"/>
    <w:rsid w:val="003C1601"/>
    <w:rsid w:val="003D120A"/>
    <w:rsid w:val="003E0DFD"/>
    <w:rsid w:val="003E11A9"/>
    <w:rsid w:val="003E45E7"/>
    <w:rsid w:val="004036B5"/>
    <w:rsid w:val="00430062"/>
    <w:rsid w:val="00435DB8"/>
    <w:rsid w:val="004430AA"/>
    <w:rsid w:val="00443372"/>
    <w:rsid w:val="00464C05"/>
    <w:rsid w:val="00470AB3"/>
    <w:rsid w:val="00470BE4"/>
    <w:rsid w:val="00471072"/>
    <w:rsid w:val="00471B0F"/>
    <w:rsid w:val="00476715"/>
    <w:rsid w:val="00481FE3"/>
    <w:rsid w:val="004840EF"/>
    <w:rsid w:val="004922CC"/>
    <w:rsid w:val="00497EE9"/>
    <w:rsid w:val="004B0B1B"/>
    <w:rsid w:val="004C2F20"/>
    <w:rsid w:val="004E0AF0"/>
    <w:rsid w:val="004E386A"/>
    <w:rsid w:val="00501116"/>
    <w:rsid w:val="00503D80"/>
    <w:rsid w:val="00511269"/>
    <w:rsid w:val="00520876"/>
    <w:rsid w:val="005246F8"/>
    <w:rsid w:val="005269DA"/>
    <w:rsid w:val="005326A1"/>
    <w:rsid w:val="00536C62"/>
    <w:rsid w:val="00552A22"/>
    <w:rsid w:val="00567881"/>
    <w:rsid w:val="00573CBD"/>
    <w:rsid w:val="005741AC"/>
    <w:rsid w:val="0058200A"/>
    <w:rsid w:val="005916D9"/>
    <w:rsid w:val="0059467A"/>
    <w:rsid w:val="005B0B00"/>
    <w:rsid w:val="005B440B"/>
    <w:rsid w:val="005B6345"/>
    <w:rsid w:val="005C6A45"/>
    <w:rsid w:val="005D0F18"/>
    <w:rsid w:val="005F3038"/>
    <w:rsid w:val="0060188B"/>
    <w:rsid w:val="00610327"/>
    <w:rsid w:val="00610CE9"/>
    <w:rsid w:val="00613246"/>
    <w:rsid w:val="00616173"/>
    <w:rsid w:val="00617880"/>
    <w:rsid w:val="00622A3B"/>
    <w:rsid w:val="00632958"/>
    <w:rsid w:val="006329F3"/>
    <w:rsid w:val="00633495"/>
    <w:rsid w:val="00634E15"/>
    <w:rsid w:val="006403B0"/>
    <w:rsid w:val="00640924"/>
    <w:rsid w:val="00644972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23B8"/>
    <w:rsid w:val="006830A5"/>
    <w:rsid w:val="006879C2"/>
    <w:rsid w:val="00693993"/>
    <w:rsid w:val="006B34D0"/>
    <w:rsid w:val="006B3CEA"/>
    <w:rsid w:val="006B5A4B"/>
    <w:rsid w:val="006B67F6"/>
    <w:rsid w:val="006B791F"/>
    <w:rsid w:val="006C3E2E"/>
    <w:rsid w:val="006C5EFD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07FE4"/>
    <w:rsid w:val="007212FD"/>
    <w:rsid w:val="00722A7C"/>
    <w:rsid w:val="007257EF"/>
    <w:rsid w:val="00725C8E"/>
    <w:rsid w:val="00726261"/>
    <w:rsid w:val="0072777E"/>
    <w:rsid w:val="007319BB"/>
    <w:rsid w:val="00741487"/>
    <w:rsid w:val="00742BBA"/>
    <w:rsid w:val="0076212D"/>
    <w:rsid w:val="0078172B"/>
    <w:rsid w:val="00783721"/>
    <w:rsid w:val="007857D4"/>
    <w:rsid w:val="007928EA"/>
    <w:rsid w:val="00793782"/>
    <w:rsid w:val="00793C45"/>
    <w:rsid w:val="0079459D"/>
    <w:rsid w:val="007A268C"/>
    <w:rsid w:val="007B4D9A"/>
    <w:rsid w:val="007C155E"/>
    <w:rsid w:val="007C17ED"/>
    <w:rsid w:val="007C46FD"/>
    <w:rsid w:val="007D4377"/>
    <w:rsid w:val="007E1B55"/>
    <w:rsid w:val="007F35A9"/>
    <w:rsid w:val="007F6509"/>
    <w:rsid w:val="00800877"/>
    <w:rsid w:val="0080110C"/>
    <w:rsid w:val="00815534"/>
    <w:rsid w:val="00815A12"/>
    <w:rsid w:val="0081658F"/>
    <w:rsid w:val="00822AE6"/>
    <w:rsid w:val="008243A7"/>
    <w:rsid w:val="00826D9F"/>
    <w:rsid w:val="008271C9"/>
    <w:rsid w:val="00830020"/>
    <w:rsid w:val="0084110C"/>
    <w:rsid w:val="00845C1E"/>
    <w:rsid w:val="00850ABE"/>
    <w:rsid w:val="008569A9"/>
    <w:rsid w:val="0085786C"/>
    <w:rsid w:val="00861729"/>
    <w:rsid w:val="0086347D"/>
    <w:rsid w:val="00874AEC"/>
    <w:rsid w:val="0087647C"/>
    <w:rsid w:val="008825C3"/>
    <w:rsid w:val="0088543B"/>
    <w:rsid w:val="00887C4E"/>
    <w:rsid w:val="008928E8"/>
    <w:rsid w:val="008A61D2"/>
    <w:rsid w:val="008B512E"/>
    <w:rsid w:val="008B567E"/>
    <w:rsid w:val="008C2816"/>
    <w:rsid w:val="008C51EA"/>
    <w:rsid w:val="008D339A"/>
    <w:rsid w:val="008E5184"/>
    <w:rsid w:val="008E7800"/>
    <w:rsid w:val="008F7298"/>
    <w:rsid w:val="008F7ECE"/>
    <w:rsid w:val="0090162C"/>
    <w:rsid w:val="00902700"/>
    <w:rsid w:val="009107B5"/>
    <w:rsid w:val="00923FB5"/>
    <w:rsid w:val="00932222"/>
    <w:rsid w:val="0093472E"/>
    <w:rsid w:val="00946EF0"/>
    <w:rsid w:val="00951D10"/>
    <w:rsid w:val="00973AC3"/>
    <w:rsid w:val="009766E6"/>
    <w:rsid w:val="00983BBE"/>
    <w:rsid w:val="009867A8"/>
    <w:rsid w:val="009875D1"/>
    <w:rsid w:val="0099556E"/>
    <w:rsid w:val="009A0010"/>
    <w:rsid w:val="009A3124"/>
    <w:rsid w:val="009C0FE5"/>
    <w:rsid w:val="009C2276"/>
    <w:rsid w:val="009C2ED6"/>
    <w:rsid w:val="009D332C"/>
    <w:rsid w:val="009D5CBB"/>
    <w:rsid w:val="009D7277"/>
    <w:rsid w:val="009E3844"/>
    <w:rsid w:val="009E6530"/>
    <w:rsid w:val="009F1653"/>
    <w:rsid w:val="009F6511"/>
    <w:rsid w:val="00A009C7"/>
    <w:rsid w:val="00A01A47"/>
    <w:rsid w:val="00A215C0"/>
    <w:rsid w:val="00A21AA7"/>
    <w:rsid w:val="00A2401E"/>
    <w:rsid w:val="00A241F3"/>
    <w:rsid w:val="00A30098"/>
    <w:rsid w:val="00A30D31"/>
    <w:rsid w:val="00A3308A"/>
    <w:rsid w:val="00A43275"/>
    <w:rsid w:val="00A43F02"/>
    <w:rsid w:val="00A45F78"/>
    <w:rsid w:val="00A53860"/>
    <w:rsid w:val="00A56FBD"/>
    <w:rsid w:val="00A70A77"/>
    <w:rsid w:val="00A858C3"/>
    <w:rsid w:val="00A90F4D"/>
    <w:rsid w:val="00A92256"/>
    <w:rsid w:val="00A936FA"/>
    <w:rsid w:val="00A95BBB"/>
    <w:rsid w:val="00AB1811"/>
    <w:rsid w:val="00AC4709"/>
    <w:rsid w:val="00AD564D"/>
    <w:rsid w:val="00AE59FA"/>
    <w:rsid w:val="00AF37F1"/>
    <w:rsid w:val="00AF519F"/>
    <w:rsid w:val="00B03059"/>
    <w:rsid w:val="00B05F6A"/>
    <w:rsid w:val="00B21157"/>
    <w:rsid w:val="00B22C22"/>
    <w:rsid w:val="00B22C98"/>
    <w:rsid w:val="00B250A9"/>
    <w:rsid w:val="00B30832"/>
    <w:rsid w:val="00B42363"/>
    <w:rsid w:val="00B4667D"/>
    <w:rsid w:val="00B5243A"/>
    <w:rsid w:val="00B55C7F"/>
    <w:rsid w:val="00B63E34"/>
    <w:rsid w:val="00B716C2"/>
    <w:rsid w:val="00B811B8"/>
    <w:rsid w:val="00B93DE8"/>
    <w:rsid w:val="00BA1182"/>
    <w:rsid w:val="00BA2049"/>
    <w:rsid w:val="00BB0284"/>
    <w:rsid w:val="00BC6A8C"/>
    <w:rsid w:val="00BD1E9C"/>
    <w:rsid w:val="00BE7833"/>
    <w:rsid w:val="00BF42CF"/>
    <w:rsid w:val="00BF6243"/>
    <w:rsid w:val="00C07741"/>
    <w:rsid w:val="00C10A5D"/>
    <w:rsid w:val="00C11278"/>
    <w:rsid w:val="00C11773"/>
    <w:rsid w:val="00C1310A"/>
    <w:rsid w:val="00C21A8C"/>
    <w:rsid w:val="00C23C4D"/>
    <w:rsid w:val="00C25BA0"/>
    <w:rsid w:val="00C301F6"/>
    <w:rsid w:val="00C32DEB"/>
    <w:rsid w:val="00C36B1A"/>
    <w:rsid w:val="00C4069F"/>
    <w:rsid w:val="00C45C7E"/>
    <w:rsid w:val="00C5624E"/>
    <w:rsid w:val="00C650EF"/>
    <w:rsid w:val="00C66B82"/>
    <w:rsid w:val="00C67BEA"/>
    <w:rsid w:val="00C71817"/>
    <w:rsid w:val="00C73886"/>
    <w:rsid w:val="00C802EF"/>
    <w:rsid w:val="00C86F76"/>
    <w:rsid w:val="00C93D76"/>
    <w:rsid w:val="00CA18C3"/>
    <w:rsid w:val="00CA5F0B"/>
    <w:rsid w:val="00CA7A2C"/>
    <w:rsid w:val="00CB18BB"/>
    <w:rsid w:val="00CB564A"/>
    <w:rsid w:val="00CB793A"/>
    <w:rsid w:val="00CD1C0A"/>
    <w:rsid w:val="00CD3804"/>
    <w:rsid w:val="00CD40C5"/>
    <w:rsid w:val="00CE098D"/>
    <w:rsid w:val="00CE37A6"/>
    <w:rsid w:val="00CF61FE"/>
    <w:rsid w:val="00D02616"/>
    <w:rsid w:val="00D11927"/>
    <w:rsid w:val="00D16009"/>
    <w:rsid w:val="00D24EFE"/>
    <w:rsid w:val="00D30322"/>
    <w:rsid w:val="00D3194A"/>
    <w:rsid w:val="00D33A78"/>
    <w:rsid w:val="00D510CF"/>
    <w:rsid w:val="00D56013"/>
    <w:rsid w:val="00D6196F"/>
    <w:rsid w:val="00D67556"/>
    <w:rsid w:val="00D70D14"/>
    <w:rsid w:val="00D73B7A"/>
    <w:rsid w:val="00D76369"/>
    <w:rsid w:val="00D861EA"/>
    <w:rsid w:val="00D86BFA"/>
    <w:rsid w:val="00D878D3"/>
    <w:rsid w:val="00D941DC"/>
    <w:rsid w:val="00DC1887"/>
    <w:rsid w:val="00DC4DF8"/>
    <w:rsid w:val="00DF3E80"/>
    <w:rsid w:val="00DF490C"/>
    <w:rsid w:val="00DF74D9"/>
    <w:rsid w:val="00E01BF2"/>
    <w:rsid w:val="00E06FE5"/>
    <w:rsid w:val="00E12680"/>
    <w:rsid w:val="00E230FA"/>
    <w:rsid w:val="00E239CA"/>
    <w:rsid w:val="00E44B9F"/>
    <w:rsid w:val="00E515AC"/>
    <w:rsid w:val="00E516FF"/>
    <w:rsid w:val="00E565DC"/>
    <w:rsid w:val="00E64C0C"/>
    <w:rsid w:val="00E8158C"/>
    <w:rsid w:val="00E90A9A"/>
    <w:rsid w:val="00E95F64"/>
    <w:rsid w:val="00E9669D"/>
    <w:rsid w:val="00EA1DA0"/>
    <w:rsid w:val="00EA3878"/>
    <w:rsid w:val="00EA3CEC"/>
    <w:rsid w:val="00EB4A34"/>
    <w:rsid w:val="00EB5B39"/>
    <w:rsid w:val="00EC2F34"/>
    <w:rsid w:val="00EC7FC1"/>
    <w:rsid w:val="00ED46F3"/>
    <w:rsid w:val="00ED4A48"/>
    <w:rsid w:val="00EE36CE"/>
    <w:rsid w:val="00EE59E5"/>
    <w:rsid w:val="00EE6D30"/>
    <w:rsid w:val="00EF32E2"/>
    <w:rsid w:val="00EF6BAD"/>
    <w:rsid w:val="00F01343"/>
    <w:rsid w:val="00F0140E"/>
    <w:rsid w:val="00F0673C"/>
    <w:rsid w:val="00F0728D"/>
    <w:rsid w:val="00F13FBC"/>
    <w:rsid w:val="00F15E73"/>
    <w:rsid w:val="00F210C5"/>
    <w:rsid w:val="00F27F8B"/>
    <w:rsid w:val="00F4476D"/>
    <w:rsid w:val="00F56826"/>
    <w:rsid w:val="00F57360"/>
    <w:rsid w:val="00F60D8B"/>
    <w:rsid w:val="00F6654A"/>
    <w:rsid w:val="00F66AC5"/>
    <w:rsid w:val="00F71DD6"/>
    <w:rsid w:val="00F72CFE"/>
    <w:rsid w:val="00F8464A"/>
    <w:rsid w:val="00F86934"/>
    <w:rsid w:val="00F87EBF"/>
    <w:rsid w:val="00F9191E"/>
    <w:rsid w:val="00F95708"/>
    <w:rsid w:val="00F95FA4"/>
    <w:rsid w:val="00F96C94"/>
    <w:rsid w:val="00FA01E1"/>
    <w:rsid w:val="00FA202D"/>
    <w:rsid w:val="00FA4FBE"/>
    <w:rsid w:val="00FB7E48"/>
    <w:rsid w:val="00FD0787"/>
    <w:rsid w:val="00FD07E2"/>
    <w:rsid w:val="00FD0FD2"/>
    <w:rsid w:val="00FD46FA"/>
    <w:rsid w:val="00FE23D6"/>
    <w:rsid w:val="00FE3EC1"/>
    <w:rsid w:val="00FF3AC5"/>
    <w:rsid w:val="00FF444C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366744"/>
  <w15:docId w15:val="{883C6915-0D5C-4070-A37A-E14B64B5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uiPriority w:val="99"/>
    <w:unhideWhenUsed/>
    <w:rsid w:val="003D1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5FAA-2BEB-43A9-8365-701C78BD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Райкова Юлия Юрьевна</cp:lastModifiedBy>
  <cp:revision>10</cp:revision>
  <cp:lastPrinted>2023-08-25T11:03:00Z</cp:lastPrinted>
  <dcterms:created xsi:type="dcterms:W3CDTF">2024-04-23T18:50:00Z</dcterms:created>
  <dcterms:modified xsi:type="dcterms:W3CDTF">2024-04-25T15:09:00Z</dcterms:modified>
</cp:coreProperties>
</file>